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6F2584E9" w:rsidR="00F97A76" w:rsidRPr="002E7196" w:rsidRDefault="002E7196" w:rsidP="002E719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F97A76" w:rsidRPr="002E7196">
        <w:rPr>
          <w:rFonts w:ascii="Times New Roman" w:hAnsi="Times New Roman" w:cs="Times New Roman"/>
          <w:color w:val="000000"/>
        </w:rPr>
        <w:t xml:space="preserve">Táto zmluva sa uzatvára ako výsledok verejného obstarávania na predmet zákazky s názvom </w:t>
      </w:r>
      <w:r w:rsidR="00F97A76" w:rsidRPr="002E7196">
        <w:rPr>
          <w:rFonts w:ascii="Times New Roman" w:hAnsi="Times New Roman" w:cs="Times New Roman"/>
          <w:b/>
          <w:bCs/>
          <w:color w:val="000000"/>
        </w:rPr>
        <w:t>„Výpočtová technika</w:t>
      </w:r>
      <w:r w:rsidR="001218E3" w:rsidRPr="002E7196">
        <w:rPr>
          <w:rFonts w:ascii="Times New Roman" w:hAnsi="Times New Roman" w:cs="Times New Roman"/>
          <w:b/>
          <w:bCs/>
          <w:color w:val="000000"/>
        </w:rPr>
        <w:t xml:space="preserve"> pre projekt </w:t>
      </w:r>
      <w:r w:rsidR="00C00446" w:rsidRPr="002E7196">
        <w:rPr>
          <w:rFonts w:ascii="Times New Roman" w:hAnsi="Times New Roman" w:cs="Times New Roman"/>
          <w:b/>
          <w:bCs/>
          <w:color w:val="000000"/>
        </w:rPr>
        <w:t>Mo</w:t>
      </w:r>
      <w:r w:rsidR="001218E3" w:rsidRPr="002E7196">
        <w:rPr>
          <w:rFonts w:ascii="Times New Roman" w:hAnsi="Times New Roman" w:cs="Times New Roman"/>
          <w:b/>
          <w:bCs/>
          <w:color w:val="000000"/>
        </w:rPr>
        <w:t>derné vzdelávanie pre prax 2</w:t>
      </w:r>
      <w:r w:rsidR="00F97A76" w:rsidRPr="002E7196">
        <w:rPr>
          <w:rFonts w:ascii="Times New Roman" w:hAnsi="Times New Roman" w:cs="Times New Roman"/>
          <w:b/>
          <w:bCs/>
          <w:color w:val="000000"/>
        </w:rPr>
        <w:t>“</w:t>
      </w:r>
      <w:r w:rsidR="008C129C" w:rsidRPr="002E7196">
        <w:rPr>
          <w:rFonts w:ascii="Times New Roman" w:hAnsi="Times New Roman" w:cs="Times New Roman"/>
          <w:b/>
          <w:bCs/>
          <w:color w:val="000000"/>
        </w:rPr>
        <w:t xml:space="preserve"> – logický celok č. 1 - Notebooky</w:t>
      </w:r>
      <w:r w:rsidR="00F97A76" w:rsidRPr="002E7196">
        <w:rPr>
          <w:rFonts w:ascii="Times New Roman" w:hAnsi="Times New Roman" w:cs="Times New Roman"/>
          <w:color w:val="000000"/>
        </w:rPr>
        <w:t xml:space="preserve"> postupom </w:t>
      </w:r>
      <w:r w:rsidR="005A75E3" w:rsidRPr="002E7196">
        <w:rPr>
          <w:rFonts w:ascii="Times New Roman" w:hAnsi="Times New Roman" w:cs="Times New Roman"/>
          <w:color w:val="000000"/>
        </w:rPr>
        <w:t xml:space="preserve">verejnej </w:t>
      </w:r>
      <w:r w:rsidR="00F97A76" w:rsidRPr="002E7196">
        <w:rPr>
          <w:rFonts w:ascii="Times New Roman" w:hAnsi="Times New Roman" w:cs="Times New Roman"/>
          <w:color w:val="000000"/>
        </w:rPr>
        <w:t xml:space="preserve">súťaže – dynamického nákupného systému podľa § 58 až 61 </w:t>
      </w:r>
      <w:r w:rsidR="00C31522" w:rsidRPr="002E7196">
        <w:rPr>
          <w:rFonts w:ascii="Times New Roman" w:hAnsi="Times New Roman" w:cs="Times New Roman"/>
          <w:color w:val="000000"/>
        </w:rPr>
        <w:t xml:space="preserve">zákona č.343/2015 Z. z. (o verejnom obstarávaní) a o zmene a doplnení niektorých zákonov, </w:t>
      </w:r>
      <w:r w:rsidR="00F97A76" w:rsidRPr="002E7196">
        <w:rPr>
          <w:rFonts w:ascii="Times New Roman" w:hAnsi="Times New Roman" w:cs="Times New Roman"/>
          <w:color w:val="000000"/>
        </w:rPr>
        <w:t>(ďalej ako „</w:t>
      </w:r>
      <w:r w:rsidR="00F97A76" w:rsidRPr="002E7196">
        <w:rPr>
          <w:rFonts w:ascii="Times New Roman" w:hAnsi="Times New Roman" w:cs="Times New Roman"/>
          <w:b/>
          <w:bCs/>
          <w:color w:val="000000"/>
        </w:rPr>
        <w:t>verejné obstarávanie</w:t>
      </w:r>
      <w:r w:rsidR="00F97A76" w:rsidRPr="002E7196">
        <w:rPr>
          <w:rFonts w:ascii="Times New Roman" w:hAnsi="Times New Roman" w:cs="Times New Roman"/>
          <w:color w:val="000000"/>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67DB0E9A" w:rsidR="00C874AE" w:rsidRPr="002E7196" w:rsidRDefault="008B0846" w:rsidP="002E719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59CC25F3" w:rsidR="00635C6D" w:rsidRPr="002E7196" w:rsidRDefault="002E7196" w:rsidP="002E719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 </w:t>
      </w:r>
      <w:r w:rsidR="00C874AE" w:rsidRPr="002E7196">
        <w:rPr>
          <w:rFonts w:ascii="Times New Roman" w:hAnsi="Times New Roman" w:cs="Times New Roman"/>
          <w:color w:val="00000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2E7196">
        <w:rPr>
          <w:rFonts w:ascii="Times New Roman" w:hAnsi="Times New Roman" w:cs="Times New Roman"/>
          <w:color w:val="000000"/>
        </w:rPr>
        <w:t xml:space="preserve"> č.1 -</w:t>
      </w:r>
      <w:r w:rsidR="00C874AE" w:rsidRPr="002E7196">
        <w:rPr>
          <w:rFonts w:ascii="Times New Roman" w:hAnsi="Times New Roman" w:cs="Times New Roman"/>
          <w:color w:val="000000"/>
        </w:rPr>
        <w:t xml:space="preserve"> Notebooky (ďalej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7A3BDB82"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C33AD3" w:rsidRPr="00831DB1">
        <w:rPr>
          <w:rFonts w:ascii="Times New Roman" w:hAnsi="Times New Roman" w:cs="Times New Roman"/>
          <w:bCs/>
          <w:color w:val="000000" w:themeColor="text1"/>
        </w:rPr>
        <w:t>.202</w:t>
      </w:r>
      <w:r w:rsidR="00EB7465" w:rsidRPr="00831DB1">
        <w:rPr>
          <w:rFonts w:ascii="Times New Roman" w:hAnsi="Times New Roman" w:cs="Times New Roman"/>
          <w:bCs/>
          <w:color w:val="000000" w:themeColor="text1"/>
        </w:rPr>
        <w:t>1</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D351A59" w14:textId="07D8CCB9"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w:t>
      </w:r>
      <w:r w:rsidRPr="00107E28">
        <w:rPr>
          <w:rFonts w:ascii="Times New Roman" w:hAnsi="Times New Roman" w:cs="Times New Roman"/>
        </w:rPr>
        <w:lastRenderedPageBreak/>
        <w:t>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9A8A4CE" w14:textId="233288D6" w:rsidR="000021A7" w:rsidRPr="002E7196" w:rsidRDefault="000021A7" w:rsidP="008B0846">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3C8E8BCF"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3111529" w14:textId="76CD36D8" w:rsidR="000D2ADD" w:rsidRPr="004E072F"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9" w:history="1">
        <w:r w:rsidR="007E4424" w:rsidRPr="00015E33">
          <w:rPr>
            <w:rStyle w:val="Hypertextovprepojenie"/>
            <w:rFonts w:ascii="Times New Roman" w:hAnsi="Times New Roman" w:cs="Times New Roman"/>
          </w:rPr>
          <w:t>eva.laidet@bbsk.sk</w:t>
        </w:r>
      </w:hyperlink>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 xml:space="preserve">SR (ďalej len „MŠVVaŠ SR) a ním poverené osoby, b) Útvar vnútorného auditu a nimi </w:t>
      </w:r>
      <w:r w:rsidRPr="0087361B">
        <w:rPr>
          <w:rFonts w:ascii="Times New Roman" w:hAnsi="Times New Roman" w:cs="Times New Roman"/>
          <w:b/>
          <w:bCs/>
          <w:color w:val="000000"/>
        </w:rPr>
        <w:lastRenderedPageBreak/>
        <w:t>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 xml:space="preserve">zákona č. 315/2016 Z. z. o registri partnerov verejného </w:t>
      </w:r>
      <w:r w:rsidRPr="00905ED6">
        <w:rPr>
          <w:rFonts w:ascii="Times New Roman" w:hAnsi="Times New Roman" w:cs="Times New Roman"/>
          <w:i/>
        </w:rPr>
        <w:lastRenderedPageBreak/>
        <w:t>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 xml:space="preserve">Ing. Ján </w:t>
      </w:r>
      <w:proofErr w:type="spellStart"/>
      <w:r w:rsidR="00B568C8" w:rsidRPr="00E0099D">
        <w:rPr>
          <w:rFonts w:ascii="Times New Roman" w:hAnsi="Times New Roman" w:cs="Times New Roman"/>
        </w:rPr>
        <w:t>Lunter</w:t>
      </w:r>
      <w:proofErr w:type="spellEnd"/>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DEBE0F" w14:textId="77777777" w:rsidR="001F1EA4" w:rsidRDefault="001F1EA4" w:rsidP="0047409A">
      <w:pPr>
        <w:spacing w:after="0" w:line="240" w:lineRule="auto"/>
      </w:pPr>
      <w:r>
        <w:separator/>
      </w:r>
    </w:p>
  </w:endnote>
  <w:endnote w:type="continuationSeparator" w:id="0">
    <w:p w14:paraId="02CF52EE" w14:textId="77777777" w:rsidR="001F1EA4" w:rsidRDefault="001F1EA4"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22006" w14:textId="77777777" w:rsidR="001F1EA4" w:rsidRDefault="001F1EA4" w:rsidP="0047409A">
      <w:pPr>
        <w:spacing w:after="0" w:line="240" w:lineRule="auto"/>
      </w:pPr>
      <w:r>
        <w:separator/>
      </w:r>
    </w:p>
  </w:footnote>
  <w:footnote w:type="continuationSeparator" w:id="0">
    <w:p w14:paraId="7AE0C98A" w14:textId="77777777" w:rsidR="001F1EA4" w:rsidRDefault="001F1EA4"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2E7196"/>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54F"/>
    <w:rsid w:val="004B4CB1"/>
    <w:rsid w:val="004D0478"/>
    <w:rsid w:val="004E072F"/>
    <w:rsid w:val="00520C1E"/>
    <w:rsid w:val="00552FFE"/>
    <w:rsid w:val="00584B3F"/>
    <w:rsid w:val="005A75E3"/>
    <w:rsid w:val="005B06E3"/>
    <w:rsid w:val="005B4547"/>
    <w:rsid w:val="005C5CD6"/>
    <w:rsid w:val="005C6785"/>
    <w:rsid w:val="005E1DB9"/>
    <w:rsid w:val="005F7206"/>
    <w:rsid w:val="00602B56"/>
    <w:rsid w:val="006157D1"/>
    <w:rsid w:val="0062681F"/>
    <w:rsid w:val="006349AE"/>
    <w:rsid w:val="00635C6D"/>
    <w:rsid w:val="006368DB"/>
    <w:rsid w:val="0065082F"/>
    <w:rsid w:val="00657E92"/>
    <w:rsid w:val="006775F4"/>
    <w:rsid w:val="006A10C0"/>
    <w:rsid w:val="006D26EE"/>
    <w:rsid w:val="006E7BF1"/>
    <w:rsid w:val="00752A47"/>
    <w:rsid w:val="00764CDD"/>
    <w:rsid w:val="00770A7B"/>
    <w:rsid w:val="007965CA"/>
    <w:rsid w:val="007A1511"/>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723B7"/>
    <w:rsid w:val="00990CD6"/>
    <w:rsid w:val="0099151A"/>
    <w:rsid w:val="00994E81"/>
    <w:rsid w:val="00995D99"/>
    <w:rsid w:val="009B302F"/>
    <w:rsid w:val="009C094D"/>
    <w:rsid w:val="009C2A4D"/>
    <w:rsid w:val="009C335B"/>
    <w:rsid w:val="009E2FF4"/>
    <w:rsid w:val="00A43642"/>
    <w:rsid w:val="00A62DE6"/>
    <w:rsid w:val="00A732A9"/>
    <w:rsid w:val="00A77B30"/>
    <w:rsid w:val="00A81B12"/>
    <w:rsid w:val="00A85094"/>
    <w:rsid w:val="00A9191E"/>
    <w:rsid w:val="00A93484"/>
    <w:rsid w:val="00AB6CE3"/>
    <w:rsid w:val="00AE766C"/>
    <w:rsid w:val="00AF5642"/>
    <w:rsid w:val="00B10BA0"/>
    <w:rsid w:val="00B11540"/>
    <w:rsid w:val="00B46F8E"/>
    <w:rsid w:val="00B568C8"/>
    <w:rsid w:val="00B6337A"/>
    <w:rsid w:val="00B74927"/>
    <w:rsid w:val="00B97698"/>
    <w:rsid w:val="00BA2D09"/>
    <w:rsid w:val="00BD04A9"/>
    <w:rsid w:val="00BD195C"/>
    <w:rsid w:val="00BD2CE9"/>
    <w:rsid w:val="00BF62C5"/>
    <w:rsid w:val="00BF75AE"/>
    <w:rsid w:val="00C00446"/>
    <w:rsid w:val="00C1129E"/>
    <w:rsid w:val="00C31522"/>
    <w:rsid w:val="00C31A1F"/>
    <w:rsid w:val="00C33AD3"/>
    <w:rsid w:val="00C37273"/>
    <w:rsid w:val="00C615DC"/>
    <w:rsid w:val="00C764E8"/>
    <w:rsid w:val="00C838FE"/>
    <w:rsid w:val="00C874AE"/>
    <w:rsid w:val="00CB0898"/>
    <w:rsid w:val="00CC3D18"/>
    <w:rsid w:val="00CE41E4"/>
    <w:rsid w:val="00CF079E"/>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laidet@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kupnej zmluvy_Vypočtová technika_Log celok č_1_Notebooky" edit="true"/>
    <f:field ref="objsubject" par="" text="" edit="true"/>
    <f:field ref="objcreatedby" par="" text="Laidet, Eva, Mgr."/>
    <f:field ref="objcreatedat" par="" date="2021-01-28T11:00:46" text="28. 1. 2021 11:00:46"/>
    <f:field ref="objchangedby" par="" text="Laidet, Eva, Mgr."/>
    <f:field ref="objmodifiedat" par="" date="2021-01-28T11:00:50" text="28. 1. 2021 11:00:50"/>
    <f:field ref="doc_FSCFOLIO_1_1001_FieldDocumentNumber" par="" text=""/>
    <f:field ref="doc_FSCFOLIO_1_1001_FieldSubject" par="" text=""/>
    <f:field ref="FSCFOLIO_1_1001_FieldCurrentUser" par="" text="Bc. Beáta Fulnečková"/>
    <f:field ref="CCAPRECONFIG_15_1001_Objektname" par="" text="Navrh kupnej zmluvy_Vypočtová technika_Log celok č_1_Notebooky"/>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3630</Words>
  <Characters>20697</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2021-02-14T20:09:00Z</dcterms:created>
  <dcterms:modified xsi:type="dcterms:W3CDTF">2021-02-15T20:03:00Z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Mgr. Eva Laidet</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28. 1. 2021, 11:00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28. 1. 2021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28.1.2021, 11:00</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Laidet, Eva, Mgr.</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ODDIP (Oddelenie implementácie projektov)</vt:lpwstr>
  </property>
  <property fmtid="{D5CDD505-2E9C-101B-9397-08002B2CF9AE}" pid="335" name="FSC#COOELAK@1.1001:CreatedAt">
    <vt:lpwstr>28.01.2021</vt:lpwstr>
  </property>
  <property fmtid="{D5CDD505-2E9C-101B-9397-08002B2CF9AE}" pid="336" name="FSC#COOELAK@1.1001:OU">
    <vt:lpwstr>ODDIP (Oddelenie implementácie projektov)</vt:lpwstr>
  </property>
  <property fmtid="{D5CDD505-2E9C-101B-9397-08002B2CF9AE}" pid="337" name="FSC#COOELAK@1.1001:Priority">
    <vt:lpwstr> ()</vt:lpwstr>
  </property>
  <property fmtid="{D5CDD505-2E9C-101B-9397-08002B2CF9AE}" pid="338" name="FSC#COOELAK@1.1001:ObjBarCode">
    <vt:lpwstr>*COO.2090.100.9.3160484*</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II</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COO.2090.100.9.3160484</vt:lpwstr>
  </property>
  <property fmtid="{D5CDD505-2E9C-101B-9397-08002B2CF9AE}" pid="386" name="FSC#FSCFOLIO@1.1001:docpropproject">
    <vt:lpwstr/>
  </property>
  <property fmtid="{D5CDD505-2E9C-101B-9397-08002B2CF9AE}" pid="387" name="_MarkAsFinal">
    <vt:bool>true</vt:bool>
  </property>
</Properties>
</file>